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黑体" w:hAnsi="黑体" w:eastAsia="黑体"/>
          <w:b/>
          <w:bCs/>
          <w:color w:val="000000"/>
          <w:kern w:val="0"/>
          <w:sz w:val="28"/>
          <w:szCs w:val="28"/>
        </w:rPr>
      </w:pPr>
      <w:r>
        <w:rPr>
          <w:rFonts w:ascii="黑体" w:hAnsi="黑体" w:eastAsia="黑体"/>
          <w:b/>
          <w:bCs/>
          <w:color w:val="000000"/>
          <w:kern w:val="0"/>
          <w:sz w:val="28"/>
          <w:szCs w:val="28"/>
        </w:rPr>
        <w:t>北京学院路地区高校“教学共同体”</w:t>
      </w:r>
    </w:p>
    <w:p>
      <w:pPr>
        <w:snapToGrid w:val="0"/>
        <w:spacing w:line="400" w:lineRule="exact"/>
        <w:jc w:val="center"/>
        <w:rPr>
          <w:rFonts w:ascii="黑体" w:hAnsi="黑体" w:eastAsia="黑体"/>
          <w:b/>
          <w:bCs/>
          <w:color w:val="000000"/>
          <w:kern w:val="0"/>
          <w:sz w:val="28"/>
          <w:szCs w:val="28"/>
        </w:rPr>
      </w:pPr>
      <w:r>
        <w:rPr>
          <w:rFonts w:ascii="黑体" w:hAnsi="黑体" w:eastAsia="黑体"/>
          <w:b/>
          <w:bCs/>
          <w:color w:val="000000"/>
          <w:kern w:val="0"/>
          <w:sz w:val="28"/>
          <w:szCs w:val="28"/>
        </w:rPr>
        <w:t>校际公共选修课教学管理规定</w:t>
      </w:r>
    </w:p>
    <w:p>
      <w:pPr>
        <w:snapToGrid w:val="0"/>
        <w:spacing w:line="400" w:lineRule="exact"/>
        <w:jc w:val="center"/>
        <w:rPr>
          <w:rFonts w:ascii="宋体" w:hAnsi="宋体" w:eastAsia="宋体"/>
          <w:color w:val="000000"/>
          <w:kern w:val="0"/>
          <w:sz w:val="20"/>
          <w:szCs w:val="20"/>
        </w:rPr>
      </w:pPr>
      <w:r>
        <w:rPr>
          <w:rFonts w:ascii="宋体" w:hAnsi="宋体" w:eastAsia="宋体"/>
          <w:color w:val="000000"/>
          <w:kern w:val="0"/>
          <w:sz w:val="20"/>
          <w:szCs w:val="20"/>
        </w:rPr>
        <w:t>（</w:t>
      </w:r>
      <w:r>
        <w:rPr>
          <w:rFonts w:ascii="Times New Roman" w:hAnsi="Times New Roman" w:eastAsia="Times New Roman"/>
          <w:color w:val="000000"/>
          <w:kern w:val="0"/>
          <w:sz w:val="20"/>
          <w:szCs w:val="20"/>
        </w:rPr>
        <w:t>2011</w:t>
      </w:r>
      <w:r>
        <w:rPr>
          <w:rFonts w:ascii="宋体" w:hAnsi="宋体" w:eastAsia="宋体"/>
          <w:color w:val="000000"/>
          <w:kern w:val="0"/>
          <w:sz w:val="20"/>
          <w:szCs w:val="20"/>
        </w:rPr>
        <w:t>年</w:t>
      </w:r>
      <w:r>
        <w:rPr>
          <w:rFonts w:ascii="Times New Roman" w:hAnsi="Times New Roman" w:eastAsia="Times New Roman"/>
          <w:color w:val="000000"/>
          <w:kern w:val="0"/>
          <w:sz w:val="20"/>
          <w:szCs w:val="20"/>
        </w:rPr>
        <w:t>6</w:t>
      </w:r>
      <w:r>
        <w:rPr>
          <w:rFonts w:ascii="宋体" w:hAnsi="宋体" w:eastAsia="宋体"/>
          <w:color w:val="000000"/>
          <w:kern w:val="0"/>
          <w:sz w:val="20"/>
          <w:szCs w:val="20"/>
        </w:rPr>
        <w:t>月修订）</w:t>
      </w:r>
    </w:p>
    <w:p>
      <w:pPr>
        <w:snapToGrid w:val="0"/>
        <w:spacing w:before="240" w:line="400" w:lineRule="exact"/>
        <w:jc w:val="center"/>
        <w:rPr>
          <w:rFonts w:ascii="黑体" w:hAnsi="黑体" w:eastAsia="黑体"/>
          <w:b/>
          <w:bCs/>
          <w:color w:val="000000"/>
          <w:kern w:val="0"/>
          <w:sz w:val="24"/>
          <w:szCs w:val="24"/>
        </w:rPr>
      </w:pPr>
      <w:r>
        <w:rPr>
          <w:rFonts w:ascii="黑体" w:hAnsi="黑体" w:eastAsia="黑体"/>
          <w:b/>
          <w:bCs/>
          <w:color w:val="000000"/>
          <w:kern w:val="0"/>
          <w:sz w:val="24"/>
          <w:szCs w:val="24"/>
        </w:rPr>
        <w:t>总则</w:t>
      </w:r>
    </w:p>
    <w:p>
      <w:pPr>
        <w:snapToGrid w:val="0"/>
        <w:spacing w:line="400" w:lineRule="exact"/>
        <w:ind w:firstLine="506" w:firstLineChars="252"/>
        <w:rPr>
          <w:rFonts w:ascii="宋体" w:hAnsi="宋体" w:eastAsia="宋体"/>
          <w:color w:val="000000"/>
          <w:sz w:val="20"/>
          <w:szCs w:val="20"/>
        </w:rPr>
      </w:pPr>
      <w:r>
        <w:rPr>
          <w:rFonts w:ascii="宋体" w:hAnsi="宋体" w:eastAsia="宋体"/>
          <w:b/>
          <w:bCs/>
          <w:color w:val="000000"/>
          <w:sz w:val="20"/>
          <w:szCs w:val="20"/>
        </w:rPr>
        <w:t>第一条</w:t>
      </w:r>
      <w:r>
        <w:rPr>
          <w:rFonts w:ascii="宋体" w:hAnsi="宋体" w:eastAsia="宋体"/>
          <w:color w:val="000000"/>
          <w:sz w:val="20"/>
          <w:szCs w:val="20"/>
        </w:rPr>
        <w:t>为使学院路地区高校“教学共同体”教学活动规范有序地开展，特制定校际公共选修课教学管理规定，以利于维护共同体各成员校的教学秩序，提高教学管理效率。</w:t>
      </w:r>
    </w:p>
    <w:p>
      <w:pPr>
        <w:snapToGrid w:val="0"/>
        <w:spacing w:line="400" w:lineRule="exact"/>
        <w:jc w:val="center"/>
        <w:rPr>
          <w:rFonts w:ascii="黑体" w:hAnsi="黑体" w:eastAsia="黑体"/>
          <w:b/>
          <w:bCs/>
          <w:color w:val="000000"/>
          <w:kern w:val="0"/>
          <w:sz w:val="24"/>
          <w:szCs w:val="24"/>
        </w:rPr>
      </w:pPr>
      <w:bookmarkStart w:id="0" w:name="_GoBack"/>
      <w:bookmarkEnd w:id="0"/>
      <w:r>
        <w:rPr>
          <w:rFonts w:ascii="黑体" w:hAnsi="黑体" w:eastAsia="黑体"/>
          <w:b/>
          <w:bCs/>
          <w:color w:val="000000"/>
          <w:kern w:val="0"/>
          <w:sz w:val="24"/>
          <w:szCs w:val="24"/>
        </w:rPr>
        <w:t>管理制度</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第二条</w:t>
      </w:r>
      <w:r>
        <w:rPr>
          <w:rFonts w:ascii="宋体" w:hAnsi="宋体" w:eastAsia="宋体"/>
          <w:color w:val="000000"/>
          <w:sz w:val="20"/>
          <w:szCs w:val="20"/>
        </w:rPr>
        <w:t>参加选课的学生必须国家承认的全日制普通高等院校在校大学生或研究生。</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第三条</w:t>
      </w:r>
      <w:r>
        <w:rPr>
          <w:rFonts w:ascii="宋体" w:hAnsi="宋体" w:eastAsia="宋体"/>
          <w:color w:val="000000"/>
          <w:sz w:val="20"/>
          <w:szCs w:val="20"/>
        </w:rPr>
        <w:t>校际公共选修课全部安排在双休日上课，考虑到各成员校教学日历的差异，充分照顾到学生对校际课的可选率，课程的开课的时间要晚开、早结束，具体时间由开课院校确定。</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第四条</w:t>
      </w:r>
      <w:r>
        <w:rPr>
          <w:rFonts w:ascii="宋体" w:hAnsi="宋体" w:eastAsia="宋体"/>
          <w:color w:val="000000"/>
          <w:sz w:val="20"/>
          <w:szCs w:val="20"/>
        </w:rPr>
        <w:t>校际公共选修课的开课时间一旦确定，各开课学校在课程开设期间一律不得调课，如确有特殊情况，非变化不可，则由开课学校提前通知各个学校的选课学生，而不由选课学生所在校通知。</w:t>
      </w:r>
    </w:p>
    <w:p>
      <w:pPr>
        <w:snapToGrid w:val="0"/>
        <w:spacing w:line="400" w:lineRule="exact"/>
        <w:ind w:firstLine="502" w:firstLineChars="250"/>
        <w:rPr>
          <w:rFonts w:ascii="宋体" w:hAnsi="宋体" w:eastAsia="宋体"/>
          <w:color w:val="000000"/>
          <w:sz w:val="20"/>
          <w:szCs w:val="20"/>
        </w:rPr>
      </w:pPr>
      <w:r>
        <w:rPr>
          <w:rFonts w:ascii="宋体" w:hAnsi="宋体" w:eastAsia="宋体"/>
          <w:b/>
          <w:bCs/>
          <w:color w:val="000000"/>
          <w:sz w:val="20"/>
          <w:szCs w:val="20"/>
        </w:rPr>
        <w:t>第五条</w:t>
      </w:r>
      <w:r>
        <w:rPr>
          <w:rFonts w:ascii="宋体" w:hAnsi="宋体" w:eastAsia="宋体"/>
          <w:color w:val="000000"/>
          <w:sz w:val="20"/>
          <w:szCs w:val="20"/>
        </w:rPr>
        <w:t>校际公共选修课的学时定为30或20两种；</w:t>
      </w:r>
    </w:p>
    <w:p>
      <w:pPr>
        <w:snapToGrid w:val="0"/>
        <w:spacing w:line="400" w:lineRule="exact"/>
        <w:ind w:firstLine="500" w:firstLineChars="250"/>
        <w:rPr>
          <w:rFonts w:ascii="宋体" w:hAnsi="宋体" w:eastAsia="宋体"/>
          <w:color w:val="000000"/>
          <w:sz w:val="20"/>
          <w:szCs w:val="20"/>
        </w:rPr>
      </w:pPr>
      <w:r>
        <w:rPr>
          <w:rFonts w:ascii="宋体" w:hAnsi="宋体" w:eastAsia="宋体"/>
          <w:color w:val="000000"/>
          <w:sz w:val="20"/>
          <w:szCs w:val="20"/>
        </w:rPr>
        <w:t>根据共同体学分制收费管理规定，共同体跨校选修课的收费标准为：</w:t>
      </w:r>
    </w:p>
    <w:p>
      <w:pPr>
        <w:snapToGrid w:val="0"/>
        <w:spacing w:line="400" w:lineRule="exact"/>
        <w:ind w:firstLine="500" w:firstLineChars="250"/>
        <w:rPr>
          <w:rFonts w:ascii="宋体" w:hAnsi="宋体" w:eastAsia="宋体"/>
          <w:color w:val="000000"/>
          <w:sz w:val="20"/>
          <w:szCs w:val="20"/>
        </w:rPr>
      </w:pPr>
      <w:r>
        <w:rPr>
          <w:rFonts w:ascii="宋体" w:hAnsi="宋体" w:eastAsia="宋体"/>
          <w:color w:val="000000"/>
          <w:sz w:val="20"/>
          <w:szCs w:val="20"/>
        </w:rPr>
        <w:t>30学时的课程：共同体成员校学生选修普通类跨校选修课的收费标准为180元，艺术等特殊类跨校选修课收费标准为310元。</w:t>
      </w:r>
    </w:p>
    <w:p>
      <w:pPr>
        <w:snapToGrid w:val="0"/>
        <w:spacing w:line="400" w:lineRule="exact"/>
        <w:ind w:firstLine="500" w:firstLineChars="250"/>
        <w:rPr>
          <w:rFonts w:ascii="宋体" w:hAnsi="宋体" w:eastAsia="宋体"/>
          <w:color w:val="000000"/>
          <w:sz w:val="20"/>
          <w:szCs w:val="20"/>
        </w:rPr>
      </w:pPr>
      <w:r>
        <w:rPr>
          <w:rFonts w:ascii="宋体" w:hAnsi="宋体" w:eastAsia="宋体"/>
          <w:color w:val="000000"/>
          <w:sz w:val="20"/>
          <w:szCs w:val="20"/>
        </w:rPr>
        <w:t>20学时的课程：共同体成员校学生选修共同体普通类跨校选修课的收费标准为120元，艺术等特殊类跨校选修课收费标准为210元。</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第六条</w:t>
      </w:r>
      <w:r>
        <w:rPr>
          <w:rFonts w:ascii="宋体" w:hAnsi="宋体" w:eastAsia="宋体"/>
          <w:color w:val="000000"/>
          <w:sz w:val="20"/>
          <w:szCs w:val="20"/>
        </w:rPr>
        <w:t>共同体开设的课程，选课学生人数在20人（不含20人）以下的课程才准许退课，否则开课学校不能随意退课。</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第七条</w:t>
      </w:r>
      <w:r>
        <w:rPr>
          <w:rFonts w:ascii="宋体" w:hAnsi="宋体" w:eastAsia="宋体"/>
          <w:color w:val="000000"/>
          <w:sz w:val="20"/>
          <w:szCs w:val="20"/>
        </w:rPr>
        <w:t>学生选修课程所用听课证，开课学校教务管理部门应从共同体网站教务管理系统提供的统一格式打印，课程听课证中的开课日期、上课地点和上课时间也按网站所提供的信息填写。发放给选课学生的听课证，盖有开课校教务处章后方有效。</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第八条</w:t>
      </w:r>
      <w:r>
        <w:rPr>
          <w:rFonts w:ascii="宋体" w:hAnsi="宋体" w:eastAsia="宋体"/>
          <w:color w:val="000000"/>
          <w:sz w:val="20"/>
          <w:szCs w:val="20"/>
        </w:rPr>
        <w:t>选课学生需持听课证进教室、场馆，且要遵守开课学校的各项规章制度。</w:t>
      </w:r>
    </w:p>
    <w:p>
      <w:pPr>
        <w:snapToGrid w:val="0"/>
        <w:spacing w:line="400" w:lineRule="exact"/>
        <w:ind w:firstLine="612" w:firstLineChars="254"/>
        <w:jc w:val="center"/>
        <w:rPr>
          <w:rFonts w:ascii="黑体" w:hAnsi="黑体" w:eastAsia="黑体"/>
          <w:b/>
          <w:bCs/>
          <w:color w:val="000000"/>
          <w:kern w:val="0"/>
          <w:sz w:val="24"/>
          <w:szCs w:val="24"/>
        </w:rPr>
      </w:pPr>
      <w:r>
        <w:rPr>
          <w:rFonts w:ascii="黑体" w:hAnsi="黑体" w:eastAsia="黑体"/>
          <w:b/>
          <w:bCs/>
          <w:color w:val="000000"/>
          <w:kern w:val="0"/>
          <w:sz w:val="24"/>
          <w:szCs w:val="24"/>
        </w:rPr>
        <w:t>成绩考核与记载办法</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第九条</w:t>
      </w:r>
      <w:r>
        <w:rPr>
          <w:rFonts w:ascii="宋体" w:hAnsi="宋体" w:eastAsia="宋体"/>
          <w:color w:val="000000"/>
          <w:sz w:val="20"/>
          <w:szCs w:val="20"/>
        </w:rPr>
        <w:t>课程结束后，任课教师从共同体网站教学辅助系统登载学生考试成绩并下载学生成绩单，任课老师需在下载的成绩单上签名，并加盖开课校教务处章，方可有效，然后由开课校教务部门集中返回学生所在学校教务处。</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第十条</w:t>
      </w:r>
      <w:r>
        <w:rPr>
          <w:rFonts w:ascii="宋体" w:hAnsi="宋体" w:eastAsia="宋体"/>
          <w:color w:val="000000"/>
          <w:sz w:val="20"/>
          <w:szCs w:val="20"/>
        </w:rPr>
        <w:t>成绩评定一律采用百分制，并要求取整，不带小数。成绩评定不设分项，仅要求给出总评成绩。</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第十一条</w:t>
      </w:r>
      <w:r>
        <w:rPr>
          <w:rFonts w:ascii="宋体" w:hAnsi="宋体" w:eastAsia="宋体"/>
          <w:color w:val="000000"/>
          <w:sz w:val="20"/>
          <w:szCs w:val="20"/>
        </w:rPr>
        <w:t>凡选修此类课程的学生，按规定完成课程教学要求，考核合格者，可取得一定学分，学分量值由学生所在学校确定。</w:t>
      </w:r>
    </w:p>
    <w:p>
      <w:pPr>
        <w:snapToGrid w:val="0"/>
        <w:spacing w:before="240" w:line="400" w:lineRule="exact"/>
        <w:jc w:val="center"/>
        <w:rPr>
          <w:rFonts w:ascii="黑体" w:hAnsi="黑体" w:eastAsia="黑体"/>
          <w:b/>
          <w:bCs/>
          <w:color w:val="000000"/>
          <w:sz w:val="24"/>
          <w:szCs w:val="24"/>
        </w:rPr>
      </w:pPr>
      <w:r>
        <w:rPr>
          <w:rFonts w:ascii="黑体" w:hAnsi="黑体" w:eastAsia="黑体"/>
          <w:b/>
          <w:bCs/>
          <w:color w:val="000000"/>
          <w:sz w:val="24"/>
          <w:szCs w:val="24"/>
        </w:rPr>
        <w:t>学生注册</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第十二条</w:t>
      </w:r>
      <w:r>
        <w:rPr>
          <w:rFonts w:ascii="宋体" w:hAnsi="宋体" w:eastAsia="宋体"/>
          <w:color w:val="000000"/>
          <w:sz w:val="20"/>
          <w:szCs w:val="20"/>
        </w:rPr>
        <w:t>校际公共选修课全部采用网上选课方式，网上支付学费。</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第十三条</w:t>
      </w:r>
      <w:r>
        <w:rPr>
          <w:rFonts w:ascii="宋体" w:hAnsi="宋体" w:eastAsia="宋体"/>
          <w:color w:val="000000"/>
          <w:sz w:val="20"/>
          <w:szCs w:val="20"/>
        </w:rPr>
        <w:t>学生一旦选定校际选修课，不允许其退选；同时，规定每位同学最多允许选修此类课程2门。</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第十四条</w:t>
      </w:r>
      <w:r>
        <w:rPr>
          <w:rFonts w:ascii="宋体" w:hAnsi="宋体" w:eastAsia="宋体"/>
          <w:color w:val="000000"/>
          <w:sz w:val="20"/>
          <w:szCs w:val="20"/>
        </w:rPr>
        <w:t>学生交费注册后，一旦发生某种变化与所选课程发生矛盾时，原则上允许将听课证转让给其他同学，但需有文字申请提交给开课学校，开课学校将更改选课学生注册名单，并办理相应手续。而听课证转让手续由学生自行处理，学生听课费用一律不予以退回。</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第十五条</w:t>
      </w:r>
      <w:r>
        <w:rPr>
          <w:rFonts w:ascii="宋体" w:hAnsi="宋体" w:eastAsia="宋体"/>
          <w:color w:val="000000"/>
          <w:sz w:val="20"/>
          <w:szCs w:val="20"/>
        </w:rPr>
        <w:t>每门课程的选课人数由开课学校确定，选课报名注册与缴费同时进行，未缴费者，则选课无效。</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第十六条</w:t>
      </w:r>
      <w:r>
        <w:rPr>
          <w:rFonts w:ascii="宋体" w:hAnsi="宋体" w:eastAsia="宋体"/>
          <w:color w:val="000000"/>
          <w:sz w:val="20"/>
          <w:szCs w:val="20"/>
        </w:rPr>
        <w:t>有关校际公共选修课的教学工作进程安排见附件：学院路地区高校“教学共同体”教学工作进度表。</w:t>
      </w:r>
    </w:p>
    <w:p>
      <w:pPr>
        <w:snapToGrid w:val="0"/>
        <w:spacing w:before="240" w:line="400" w:lineRule="exact"/>
        <w:jc w:val="center"/>
        <w:rPr>
          <w:rFonts w:ascii="黑体" w:hAnsi="黑体" w:eastAsia="黑体"/>
          <w:b/>
          <w:bCs/>
          <w:color w:val="000000"/>
          <w:sz w:val="24"/>
          <w:szCs w:val="24"/>
        </w:rPr>
      </w:pPr>
      <w:r>
        <w:rPr>
          <w:rFonts w:ascii="黑体" w:hAnsi="黑体" w:eastAsia="黑体"/>
          <w:b/>
          <w:bCs/>
          <w:color w:val="000000"/>
          <w:sz w:val="24"/>
          <w:szCs w:val="24"/>
        </w:rPr>
        <w:t>附则</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第十七条</w:t>
      </w:r>
      <w:r>
        <w:rPr>
          <w:rFonts w:ascii="宋体" w:hAnsi="宋体" w:eastAsia="宋体"/>
          <w:color w:val="000000"/>
          <w:sz w:val="20"/>
          <w:szCs w:val="20"/>
        </w:rPr>
        <w:t>本管理规定的解释权归学院路地区“教学共同体”理事会。</w:t>
      </w:r>
    </w:p>
    <w:p>
      <w:pPr>
        <w:snapToGrid w:val="0"/>
        <w:spacing w:line="400" w:lineRule="exact"/>
        <w:ind w:firstLine="510" w:firstLineChars="254"/>
        <w:rPr>
          <w:rFonts w:ascii="宋体" w:hAnsi="宋体" w:eastAsia="宋体"/>
          <w:color w:val="000000"/>
          <w:sz w:val="20"/>
          <w:szCs w:val="20"/>
        </w:rPr>
      </w:pPr>
      <w:r>
        <w:rPr>
          <w:rFonts w:ascii="宋体" w:hAnsi="宋体" w:eastAsia="宋体"/>
          <w:b/>
          <w:bCs/>
          <w:color w:val="000000"/>
          <w:sz w:val="20"/>
          <w:szCs w:val="20"/>
        </w:rPr>
        <w:t>第十八条</w:t>
      </w:r>
      <w:r>
        <w:rPr>
          <w:rFonts w:ascii="宋体" w:hAnsi="宋体" w:eastAsia="宋体"/>
          <w:color w:val="000000"/>
          <w:sz w:val="20"/>
          <w:szCs w:val="20"/>
        </w:rPr>
        <w:t>本管理规定自公布之日起执行。</w:t>
      </w:r>
    </w:p>
    <w:p>
      <w:pPr>
        <w:snapToGrid w:val="0"/>
        <w:spacing w:line="400" w:lineRule="exact"/>
        <w:rPr>
          <w:rFonts w:ascii="宋体" w:hAnsi="宋体" w:eastAsia="宋体"/>
          <w:sz w:val="20"/>
          <w:szCs w:val="2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eastAsia="宋体"/>
        <w:color w:val="00000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ZTg2YTJmNTUwOWFhNWEzYTE5YzJiOTA0ZmQxYjkifQ=="/>
  </w:docVars>
  <w:rsids>
    <w:rsidRoot w:val="004A2E6D"/>
    <w:rsid w:val="00266791"/>
    <w:rsid w:val="002D0C1E"/>
    <w:rsid w:val="003906E3"/>
    <w:rsid w:val="003F0365"/>
    <w:rsid w:val="004A2E6D"/>
    <w:rsid w:val="00844746"/>
    <w:rsid w:val="00AC232A"/>
    <w:rsid w:val="00B6099D"/>
    <w:rsid w:val="00BA07A9"/>
    <w:rsid w:val="00E46503"/>
    <w:rsid w:val="08321683"/>
    <w:rsid w:val="185C1109"/>
    <w:rsid w:val="1A9D0544"/>
    <w:rsid w:val="291202DB"/>
    <w:rsid w:val="2BB36612"/>
    <w:rsid w:val="383D3CB6"/>
    <w:rsid w:val="468F6934"/>
    <w:rsid w:val="5EF555FC"/>
    <w:rsid w:val="637E4C0D"/>
    <w:rsid w:val="79A07C11"/>
    <w:rsid w:val="7C8F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before="200" w:after="200" w:line="360" w:lineRule="auto"/>
      <w:jc w:val="left"/>
      <w:outlineLvl w:val="2"/>
    </w:pPr>
    <w:rPr>
      <w:b/>
      <w:bCs/>
      <w:color w:val="00000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rPr>
      <w:rFonts w:ascii="宋体" w:hAnsi="Courier New" w:eastAsia="宋体" w:cs="Times New Roman"/>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table" w:styleId="8">
    <w:name w:val="Table Grid"/>
    <w:basedOn w:val="7"/>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563C1"/>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3 字符"/>
    <w:basedOn w:val="9"/>
    <w:link w:val="2"/>
    <w:qFormat/>
    <w:uiPriority w:val="9"/>
    <w:rPr>
      <w:b/>
      <w:bCs/>
      <w:color w:val="000000"/>
      <w:sz w:val="32"/>
      <w:szCs w:val="32"/>
    </w:rPr>
  </w:style>
  <w:style w:type="paragraph" w:styleId="14">
    <w:name w:val="List Paragraph"/>
    <w:basedOn w:val="1"/>
    <w:qFormat/>
    <w:uiPriority w:val="34"/>
    <w:pPr>
      <w:ind w:firstLine="420" w:firstLineChars="200"/>
    </w:pPr>
  </w:style>
  <w:style w:type="character" w:customStyle="1" w:styleId="15">
    <w:name w:val="纯文本 字符"/>
    <w:basedOn w:val="9"/>
    <w:link w:val="3"/>
    <w:qFormat/>
    <w:uiPriority w:val="0"/>
    <w:rPr>
      <w:rFonts w:ascii="宋体" w:hAnsi="Courier New" w:eastAsia="宋体" w:cs="Times New Roman"/>
      <w:szCs w:val="21"/>
    </w:rPr>
  </w:style>
  <w:style w:type="paragraph" w:customStyle="1" w:styleId="16">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1220</Words>
  <Characters>1237</Characters>
  <Lines>78</Lines>
  <Paragraphs>22</Paragraphs>
  <TotalTime>5</TotalTime>
  <ScaleCrop>false</ScaleCrop>
  <LinksUpToDate>false</LinksUpToDate>
  <CharactersWithSpaces>1237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2022-01-28T04:32:00Z</dcterms:created>
  <dc:creator>YMM</dc:creator>
  <cp:lastModifiedBy>Administrator</cp:lastModifiedBy>
  <dcterms:modified xsi:type="dcterms:W3CDTF">2022-07-22T09:34:53Z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7C81BA546628435F821B6CE75D3D3A6B</vt:lpwstr>
  </property>
</Properties>
</file>